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00" w:rsidRPr="00D449A7" w:rsidRDefault="00E64A00" w:rsidP="00D449A7">
      <w:pPr>
        <w:rPr>
          <w:rFonts w:ascii="Tahoma" w:hAnsi="Tahoma" w:cs="Tahoma"/>
          <w:b/>
        </w:rPr>
      </w:pPr>
      <w:bookmarkStart w:id="0" w:name="_GoBack"/>
      <w:bookmarkEnd w:id="0"/>
      <w:r w:rsidRPr="00D449A7">
        <w:rPr>
          <w:rFonts w:ascii="Tahoma" w:hAnsi="Tahoma" w:cs="Tahoma"/>
          <w:b/>
        </w:rPr>
        <w:t>Example of Practice</w:t>
      </w:r>
      <w:r>
        <w:rPr>
          <w:rFonts w:ascii="Tahoma" w:hAnsi="Tahoma" w:cs="Tahoma"/>
          <w:b/>
        </w:rPr>
        <w:t xml:space="preserve"> – Muirhouse Housing Association</w:t>
      </w:r>
    </w:p>
    <w:p w:rsidR="00E64A00" w:rsidRPr="00D449A7" w:rsidRDefault="00E64A00" w:rsidP="00C63BC5">
      <w:pPr>
        <w:rPr>
          <w:rFonts w:ascii="Tahoma" w:hAnsi="Tahoma" w:cs="Tahoma"/>
          <w:b/>
        </w:rPr>
      </w:pPr>
      <w:r>
        <w:rPr>
          <w:rFonts w:ascii="Tahoma" w:hAnsi="Tahoma" w:cs="Tahoma"/>
          <w:b/>
        </w:rPr>
        <w:t>Sustaining wellbeing to sustain tenancies – a very human approach</w:t>
      </w:r>
    </w:p>
    <w:p w:rsidR="00E64A00" w:rsidRPr="00D449A7" w:rsidRDefault="00E64A00" w:rsidP="00C63BC5">
      <w:pPr>
        <w:rPr>
          <w:rFonts w:ascii="Tahoma" w:hAnsi="Tahoma" w:cs="Tahoma"/>
          <w:b/>
        </w:rPr>
      </w:pPr>
      <w:r w:rsidRPr="00D449A7">
        <w:rPr>
          <w:rFonts w:ascii="Tahoma" w:hAnsi="Tahoma" w:cs="Tahoma"/>
          <w:b/>
        </w:rPr>
        <w:t>Context</w:t>
      </w:r>
    </w:p>
    <w:p w:rsidR="00E64A00" w:rsidRPr="00D449A7" w:rsidRDefault="00E64A00" w:rsidP="00C63BC5">
      <w:pPr>
        <w:rPr>
          <w:rFonts w:ascii="Tahoma" w:hAnsi="Tahoma" w:cs="Tahoma"/>
        </w:rPr>
      </w:pPr>
      <w:r w:rsidRPr="00D449A7">
        <w:rPr>
          <w:rFonts w:ascii="Tahoma" w:hAnsi="Tahoma" w:cs="Tahoma"/>
        </w:rPr>
        <w:t>This practice example is one in a</w:t>
      </w:r>
      <w:r>
        <w:rPr>
          <w:rFonts w:ascii="Tahoma" w:hAnsi="Tahoma" w:cs="Tahoma"/>
        </w:rPr>
        <w:t xml:space="preserve"> short</w:t>
      </w:r>
      <w:r w:rsidRPr="00D449A7">
        <w:rPr>
          <w:rFonts w:ascii="Tahoma" w:hAnsi="Tahoma" w:cs="Tahoma"/>
        </w:rPr>
        <w:t xml:space="preserve"> series illustrating how initiatives</w:t>
      </w:r>
      <w:r>
        <w:rPr>
          <w:rFonts w:ascii="Tahoma" w:hAnsi="Tahoma" w:cs="Tahoma"/>
        </w:rPr>
        <w:t xml:space="preserve"> and extra services run by Housing Associations directly or indirectly have a </w:t>
      </w:r>
      <w:r w:rsidRPr="00D449A7">
        <w:rPr>
          <w:rFonts w:ascii="Tahoma" w:hAnsi="Tahoma" w:cs="Tahoma"/>
        </w:rPr>
        <w:t>significant positive impact on the</w:t>
      </w:r>
      <w:r>
        <w:rPr>
          <w:rFonts w:ascii="Tahoma" w:hAnsi="Tahoma" w:cs="Tahoma"/>
        </w:rPr>
        <w:t xml:space="preserve"> quality of life, </w:t>
      </w:r>
      <w:r w:rsidRPr="00D449A7">
        <w:rPr>
          <w:rFonts w:ascii="Tahoma" w:hAnsi="Tahoma" w:cs="Tahoma"/>
        </w:rPr>
        <w:t xml:space="preserve">health and well-being </w:t>
      </w:r>
      <w:r>
        <w:rPr>
          <w:rFonts w:ascii="Tahoma" w:hAnsi="Tahoma" w:cs="Tahoma"/>
        </w:rPr>
        <w:t>of those people being supported.</w:t>
      </w:r>
    </w:p>
    <w:p w:rsidR="00E64A00" w:rsidRDefault="00E64A00" w:rsidP="00C63BC5">
      <w:pPr>
        <w:rPr>
          <w:rFonts w:ascii="Tahoma" w:hAnsi="Tahoma" w:cs="Tahoma"/>
          <w:b/>
        </w:rPr>
      </w:pPr>
      <w:r w:rsidRPr="00D449A7">
        <w:rPr>
          <w:rFonts w:ascii="Tahoma" w:hAnsi="Tahoma" w:cs="Tahoma"/>
          <w:b/>
        </w:rPr>
        <w:t>Setting</w:t>
      </w:r>
    </w:p>
    <w:p w:rsidR="00E64A00" w:rsidRPr="002A5307" w:rsidRDefault="00E64A00" w:rsidP="00C63BC5">
      <w:pPr>
        <w:rPr>
          <w:rFonts w:ascii="Tahoma" w:hAnsi="Tahoma" w:cs="Tahoma"/>
        </w:rPr>
      </w:pPr>
      <w:r w:rsidRPr="002A5307">
        <w:rPr>
          <w:rFonts w:ascii="Tahoma" w:hAnsi="Tahoma" w:cs="Tahoma"/>
        </w:rPr>
        <w:t>Muirhouse</w:t>
      </w:r>
      <w:r>
        <w:rPr>
          <w:rFonts w:ascii="Tahoma" w:hAnsi="Tahoma" w:cs="Tahoma"/>
        </w:rPr>
        <w:t xml:space="preserve"> Housing Association (MHA) in Edinburgh has a housing stock of around 500 units, including some recently added mid-market properties. With a turnover of approximately £2M. It is a relatively small housing association that was established in 1992 by local residents who wanted to improve housing in the localities of Muirhouse and Drylaw and make them more desirable places to live.</w:t>
      </w:r>
    </w:p>
    <w:p w:rsidR="00E64A00" w:rsidRDefault="00E64A00">
      <w:pPr>
        <w:rPr>
          <w:rFonts w:ascii="Tahoma" w:hAnsi="Tahoma" w:cs="Tahoma"/>
          <w:b/>
        </w:rPr>
      </w:pPr>
      <w:r w:rsidRPr="00D449A7">
        <w:rPr>
          <w:rFonts w:ascii="Tahoma" w:hAnsi="Tahoma" w:cs="Tahoma"/>
          <w:b/>
        </w:rPr>
        <w:t xml:space="preserve">What </w:t>
      </w:r>
      <w:r>
        <w:rPr>
          <w:rFonts w:ascii="Tahoma" w:hAnsi="Tahoma" w:cs="Tahoma"/>
          <w:b/>
        </w:rPr>
        <w:t>issue was being addressed</w:t>
      </w:r>
      <w:r w:rsidRPr="00D449A7">
        <w:rPr>
          <w:rFonts w:ascii="Tahoma" w:hAnsi="Tahoma" w:cs="Tahoma"/>
          <w:b/>
        </w:rPr>
        <w:t>?</w:t>
      </w:r>
    </w:p>
    <w:p w:rsidR="00E64A00" w:rsidRPr="002A5307" w:rsidRDefault="00E64A00">
      <w:pPr>
        <w:rPr>
          <w:rFonts w:ascii="Tahoma" w:hAnsi="Tahoma" w:cs="Tahoma"/>
        </w:rPr>
      </w:pPr>
      <w:r>
        <w:rPr>
          <w:rFonts w:ascii="Tahoma" w:hAnsi="Tahoma" w:cs="Tahoma"/>
        </w:rPr>
        <w:t xml:space="preserve">From a business perspective, nil void and low rent arrears targets are the bottom line issues being addressed. Significant numbers of tenants come to Muirhouse with difficulties and challenges in life that can increase the chance of failed tenancies. This example describes the practical assistance provided to tenants by Muirhouse through its Enhanced Management Service. This service aims to help people maintain their tenancy. At the same time however, it enables people to improve the quality of their life and creates the conditions in which people may be more able to address aspects of their health and well-being. Of particular interest is the </w:t>
      </w:r>
      <w:r w:rsidRPr="00453350">
        <w:rPr>
          <w:rFonts w:ascii="Tahoma" w:hAnsi="Tahoma" w:cs="Tahoma"/>
          <w:u w:val="single"/>
        </w:rPr>
        <w:t>supportive approach</w:t>
      </w:r>
      <w:r>
        <w:rPr>
          <w:rFonts w:ascii="Tahoma" w:hAnsi="Tahoma" w:cs="Tahoma"/>
        </w:rPr>
        <w:t xml:space="preserve"> taken by the Housing Offices which, in itself, promotes well-being.</w:t>
      </w:r>
    </w:p>
    <w:p w:rsidR="00E64A00" w:rsidRDefault="00E64A00">
      <w:pPr>
        <w:rPr>
          <w:rFonts w:ascii="Tahoma" w:hAnsi="Tahoma" w:cs="Tahoma"/>
          <w:b/>
        </w:rPr>
      </w:pPr>
      <w:r>
        <w:rPr>
          <w:rFonts w:ascii="Tahoma" w:hAnsi="Tahoma" w:cs="Tahoma"/>
          <w:b/>
        </w:rPr>
        <w:t>What happened</w:t>
      </w:r>
      <w:r w:rsidRPr="00D449A7">
        <w:rPr>
          <w:rFonts w:ascii="Tahoma" w:hAnsi="Tahoma" w:cs="Tahoma"/>
          <w:b/>
        </w:rPr>
        <w:t>?</w:t>
      </w:r>
    </w:p>
    <w:p w:rsidR="00E64A00" w:rsidRDefault="00E64A00">
      <w:pPr>
        <w:rPr>
          <w:rFonts w:ascii="Tahoma" w:hAnsi="Tahoma" w:cs="Tahoma"/>
        </w:rPr>
      </w:pPr>
      <w:r>
        <w:rPr>
          <w:rFonts w:ascii="Tahoma" w:hAnsi="Tahoma" w:cs="Tahoma"/>
        </w:rPr>
        <w:t xml:space="preserve">Given its relatively small size, Muirhouse does not have the specialist welfare officers that can be found in larger housing associations.  Instead, the team of housing and housing support officers are encouraged, as part of organisational policy, to invest significant amounts of time carrying out a range of supportive functions described under the heading of </w:t>
      </w:r>
      <w:r w:rsidRPr="00F60A6D">
        <w:rPr>
          <w:rFonts w:ascii="Tahoma" w:hAnsi="Tahoma" w:cs="Tahoma"/>
          <w:u w:val="single"/>
        </w:rPr>
        <w:t>Enhanced Management</w:t>
      </w:r>
      <w:r>
        <w:rPr>
          <w:rFonts w:ascii="Tahoma" w:hAnsi="Tahoma" w:cs="Tahoma"/>
        </w:rPr>
        <w:t>. In addition, the Association set up its own Tenancy Sustainment Fund. This is a flexible discretionary fund that can be used to buy goods or make ‘bridging’ rent payments - essentially take some financial strain off the individual and improve their experience of settling in and the chances of a sustained tenancy.</w:t>
      </w:r>
    </w:p>
    <w:p w:rsidR="00E64A00" w:rsidRDefault="00E64A00">
      <w:pPr>
        <w:rPr>
          <w:rFonts w:ascii="Tahoma" w:hAnsi="Tahoma" w:cs="Tahoma"/>
        </w:rPr>
      </w:pPr>
      <w:r>
        <w:rPr>
          <w:rFonts w:ascii="Tahoma" w:hAnsi="Tahoma" w:cs="Tahoma"/>
        </w:rPr>
        <w:br w:type="page"/>
      </w:r>
    </w:p>
    <w:p w:rsidR="00E64A00" w:rsidRDefault="00E64A00">
      <w:pPr>
        <w:rPr>
          <w:rFonts w:ascii="Tahoma" w:hAnsi="Tahoma" w:cs="Tahoma"/>
          <w:b/>
        </w:rPr>
      </w:pPr>
      <w:r w:rsidRPr="009244ED">
        <w:rPr>
          <w:rFonts w:ascii="Tahoma" w:hAnsi="Tahoma" w:cs="Tahoma"/>
          <w:b/>
        </w:rPr>
        <w:t>Enhanced Management Service</w:t>
      </w:r>
    </w:p>
    <w:p w:rsidR="00E64A00" w:rsidRDefault="00E64A00">
      <w:pPr>
        <w:rPr>
          <w:rFonts w:ascii="Tahoma" w:hAnsi="Tahoma" w:cs="Tahoma"/>
        </w:rPr>
      </w:pPr>
      <w:r>
        <w:rPr>
          <w:rFonts w:ascii="Tahoma" w:hAnsi="Tahoma" w:cs="Tahoma"/>
        </w:rPr>
        <w:t>The main characteristics of the service are outlined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9"/>
        <w:gridCol w:w="4649"/>
        <w:gridCol w:w="4650"/>
      </w:tblGrid>
      <w:tr w:rsidR="00E64A00" w:rsidRPr="00E1763D" w:rsidTr="00E1763D">
        <w:trPr>
          <w:tblHeader/>
        </w:trPr>
        <w:tc>
          <w:tcPr>
            <w:tcW w:w="4649" w:type="dxa"/>
          </w:tcPr>
          <w:p w:rsidR="00E64A00" w:rsidRPr="00E1763D" w:rsidRDefault="00E64A00" w:rsidP="00E1763D">
            <w:pPr>
              <w:spacing w:after="0" w:line="240" w:lineRule="auto"/>
              <w:jc w:val="center"/>
              <w:rPr>
                <w:rFonts w:ascii="Tahoma" w:hAnsi="Tahoma" w:cs="Tahoma"/>
                <w:b/>
              </w:rPr>
            </w:pPr>
            <w:r w:rsidRPr="00E1763D">
              <w:rPr>
                <w:rFonts w:ascii="Tahoma" w:hAnsi="Tahoma" w:cs="Tahoma"/>
                <w:b/>
              </w:rPr>
              <w:t>Key features and aims of Support</w:t>
            </w:r>
          </w:p>
        </w:tc>
        <w:tc>
          <w:tcPr>
            <w:tcW w:w="4649" w:type="dxa"/>
          </w:tcPr>
          <w:p w:rsidR="00E64A00" w:rsidRPr="00E1763D" w:rsidRDefault="00E64A00" w:rsidP="00E1763D">
            <w:pPr>
              <w:spacing w:after="0" w:line="240" w:lineRule="auto"/>
              <w:jc w:val="center"/>
              <w:rPr>
                <w:rFonts w:ascii="Tahoma" w:hAnsi="Tahoma" w:cs="Tahoma"/>
                <w:b/>
              </w:rPr>
            </w:pPr>
            <w:r w:rsidRPr="00E1763D">
              <w:rPr>
                <w:rFonts w:ascii="Tahoma" w:hAnsi="Tahoma" w:cs="Tahoma"/>
                <w:b/>
              </w:rPr>
              <w:t>What is provided</w:t>
            </w:r>
          </w:p>
        </w:tc>
        <w:tc>
          <w:tcPr>
            <w:tcW w:w="4650" w:type="dxa"/>
          </w:tcPr>
          <w:p w:rsidR="00E64A00" w:rsidRPr="00E1763D" w:rsidRDefault="00E64A00" w:rsidP="00E1763D">
            <w:pPr>
              <w:spacing w:after="0" w:line="240" w:lineRule="auto"/>
              <w:jc w:val="center"/>
              <w:rPr>
                <w:rFonts w:ascii="Tahoma" w:hAnsi="Tahoma" w:cs="Tahoma"/>
                <w:b/>
              </w:rPr>
            </w:pPr>
            <w:r w:rsidRPr="00E1763D">
              <w:rPr>
                <w:rFonts w:ascii="Tahoma" w:hAnsi="Tahoma" w:cs="Tahoma"/>
                <w:b/>
              </w:rPr>
              <w:t>Impact</w:t>
            </w:r>
          </w:p>
        </w:tc>
      </w:tr>
      <w:tr w:rsidR="00E64A00" w:rsidRPr="00E1763D" w:rsidTr="00E1763D">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Early Engagement</w:t>
            </w:r>
          </w:p>
        </w:tc>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Time invested in pre move-in home visit that includes:</w:t>
            </w:r>
          </w:p>
          <w:p w:rsidR="00E64A00" w:rsidRPr="00E1763D" w:rsidRDefault="00E64A00" w:rsidP="00E1763D">
            <w:pPr>
              <w:spacing w:after="0" w:line="240" w:lineRule="auto"/>
              <w:rPr>
                <w:rFonts w:ascii="Tahoma" w:hAnsi="Tahoma" w:cs="Tahoma"/>
              </w:rPr>
            </w:pPr>
            <w:r w:rsidRPr="00E1763D">
              <w:rPr>
                <w:rFonts w:ascii="Tahoma" w:hAnsi="Tahoma" w:cs="Tahoma"/>
              </w:rPr>
              <w:t>Explanations of what Muirhouse expects of its tenants and also its commitments to the tenant.</w:t>
            </w:r>
          </w:p>
          <w:p w:rsidR="00E64A00" w:rsidRPr="00E1763D" w:rsidRDefault="00E64A00" w:rsidP="00E1763D">
            <w:pPr>
              <w:spacing w:after="0" w:line="240" w:lineRule="auto"/>
              <w:rPr>
                <w:rFonts w:ascii="Tahoma" w:hAnsi="Tahoma" w:cs="Tahoma"/>
              </w:rPr>
            </w:pPr>
            <w:r w:rsidRPr="00E1763D">
              <w:rPr>
                <w:rFonts w:ascii="Tahoma" w:hAnsi="Tahoma" w:cs="Tahoma"/>
              </w:rPr>
              <w:t>Information and advice on funds available for home set up costs.</w:t>
            </w:r>
          </w:p>
          <w:p w:rsidR="00E64A00" w:rsidRPr="00E1763D" w:rsidRDefault="00E64A00" w:rsidP="00E1763D">
            <w:pPr>
              <w:spacing w:after="0" w:line="240" w:lineRule="auto"/>
              <w:rPr>
                <w:rFonts w:ascii="Tahoma" w:hAnsi="Tahoma" w:cs="Tahoma"/>
              </w:rPr>
            </w:pPr>
          </w:p>
        </w:tc>
        <w:tc>
          <w:tcPr>
            <w:tcW w:w="4650" w:type="dxa"/>
          </w:tcPr>
          <w:p w:rsidR="00E64A00" w:rsidRPr="00E1763D" w:rsidRDefault="00E64A00" w:rsidP="00E1763D">
            <w:pPr>
              <w:spacing w:after="0" w:line="240" w:lineRule="auto"/>
              <w:rPr>
                <w:rFonts w:ascii="Tahoma" w:hAnsi="Tahoma" w:cs="Tahoma"/>
              </w:rPr>
            </w:pPr>
            <w:r w:rsidRPr="00E1763D">
              <w:rPr>
                <w:rFonts w:ascii="Tahoma" w:hAnsi="Tahoma" w:cs="Tahoma"/>
                <w:b/>
              </w:rPr>
              <w:t>Establishes personal relationships</w:t>
            </w:r>
            <w:r w:rsidRPr="00E1763D">
              <w:rPr>
                <w:rFonts w:ascii="Tahoma" w:hAnsi="Tahoma" w:cs="Tahoma"/>
              </w:rPr>
              <w:t xml:space="preserve"> with Housing Officers that carry on through move–in and beyond. Creates </w:t>
            </w:r>
            <w:r w:rsidRPr="00E1763D">
              <w:rPr>
                <w:rFonts w:ascii="Tahoma" w:hAnsi="Tahoma" w:cs="Tahoma"/>
                <w:b/>
              </w:rPr>
              <w:t>trusted ‘go-to person’</w:t>
            </w:r>
            <w:r w:rsidRPr="00E1763D">
              <w:rPr>
                <w:rFonts w:ascii="Tahoma" w:hAnsi="Tahoma" w:cs="Tahoma"/>
              </w:rPr>
              <w:t xml:space="preserve"> if issues and difficulties arise in future making their resolution more likely.</w:t>
            </w:r>
          </w:p>
        </w:tc>
      </w:tr>
      <w:tr w:rsidR="00E64A00" w:rsidRPr="00E1763D" w:rsidTr="00E1763D">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Income Maximisation</w:t>
            </w:r>
          </w:p>
        </w:tc>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Benefits Assessments and Application assistance.</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Budgeting and financial ‘health checks’.</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Assistance to complete forms, make calls, etc. in order to make grant applications. (E.g. Community Care Grants, Bethany Trust*, Scottish Welfare Fund, MHA’s own Tenancy Sustainment Fund). Housing Officers may have to help with numerous applications because if tenant is turned down for one they may need to turn to another.  The Tenancy Sustainment Fund being the final safety net.</w:t>
            </w:r>
          </w:p>
          <w:p w:rsidR="00E64A00" w:rsidRPr="00E1763D" w:rsidRDefault="00E64A00" w:rsidP="00E1763D">
            <w:pPr>
              <w:spacing w:after="0" w:line="240" w:lineRule="auto"/>
              <w:rPr>
                <w:rFonts w:ascii="Tahoma" w:hAnsi="Tahoma" w:cs="Tahoma"/>
              </w:rPr>
            </w:pPr>
          </w:p>
        </w:tc>
        <w:tc>
          <w:tcPr>
            <w:tcW w:w="4650" w:type="dxa"/>
          </w:tcPr>
          <w:p w:rsidR="00E64A00" w:rsidRPr="00E1763D" w:rsidRDefault="00E64A00" w:rsidP="00E1763D">
            <w:pPr>
              <w:spacing w:after="0" w:line="240" w:lineRule="auto"/>
              <w:rPr>
                <w:rFonts w:ascii="Tahoma" w:hAnsi="Tahoma" w:cs="Tahoma"/>
              </w:rPr>
            </w:pPr>
            <w:r w:rsidRPr="00E1763D">
              <w:rPr>
                <w:rFonts w:ascii="Tahoma" w:hAnsi="Tahoma" w:cs="Tahoma"/>
              </w:rPr>
              <w:t xml:space="preserve">Ensures that people are receiving the appropriate benefits and </w:t>
            </w:r>
            <w:r w:rsidRPr="00E1763D">
              <w:rPr>
                <w:rFonts w:ascii="Tahoma" w:hAnsi="Tahoma" w:cs="Tahoma"/>
                <w:b/>
              </w:rPr>
              <w:t>reduces the anxiety</w:t>
            </w:r>
            <w:r w:rsidRPr="00E1763D">
              <w:rPr>
                <w:rFonts w:ascii="Tahoma" w:hAnsi="Tahoma" w:cs="Tahoma"/>
              </w:rPr>
              <w:t xml:space="preserve"> that some people experience navigating the welfare system.</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 xml:space="preserve">Helps people understand </w:t>
            </w:r>
            <w:r w:rsidRPr="00E1763D">
              <w:rPr>
                <w:rFonts w:ascii="Tahoma" w:hAnsi="Tahoma" w:cs="Tahoma"/>
                <w:b/>
              </w:rPr>
              <w:t>and increase their control</w:t>
            </w:r>
            <w:r w:rsidRPr="00E1763D">
              <w:rPr>
                <w:rFonts w:ascii="Tahoma" w:hAnsi="Tahoma" w:cs="Tahoma"/>
              </w:rPr>
              <w:t xml:space="preserve"> over their finances and contributes to reduction in rent arrears.</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 xml:space="preserve">Helps people acquire the basics for moving in and sometimes even cost of moving.  </w:t>
            </w:r>
            <w:r w:rsidRPr="00E1763D">
              <w:rPr>
                <w:rFonts w:ascii="Tahoma" w:hAnsi="Tahoma" w:cs="Tahoma"/>
                <w:b/>
              </w:rPr>
              <w:t>Reduces financial worry</w:t>
            </w:r>
            <w:r w:rsidRPr="00E1763D">
              <w:rPr>
                <w:rFonts w:ascii="Tahoma" w:hAnsi="Tahoma" w:cs="Tahoma"/>
              </w:rPr>
              <w:t xml:space="preserve"> and burden. </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 xml:space="preserve">Ensures that the </w:t>
            </w:r>
            <w:r w:rsidRPr="00E1763D">
              <w:rPr>
                <w:rFonts w:ascii="Tahoma" w:hAnsi="Tahoma" w:cs="Tahoma"/>
                <w:b/>
              </w:rPr>
              <w:t>essentials for well-being</w:t>
            </w:r>
            <w:r w:rsidRPr="00E1763D">
              <w:rPr>
                <w:rFonts w:ascii="Tahoma" w:hAnsi="Tahoma" w:cs="Tahoma"/>
              </w:rPr>
              <w:t xml:space="preserve"> are provided if necessary (i.e. something to eat, somewhere to sleep and sit and that warmth is provided.</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 xml:space="preserve">Demonstrates commitment and </w:t>
            </w:r>
            <w:r w:rsidRPr="00E1763D">
              <w:rPr>
                <w:rFonts w:ascii="Tahoma" w:hAnsi="Tahoma" w:cs="Tahoma"/>
                <w:b/>
              </w:rPr>
              <w:t>caring and regard</w:t>
            </w:r>
            <w:r w:rsidRPr="00E1763D">
              <w:rPr>
                <w:rFonts w:ascii="Tahoma" w:hAnsi="Tahoma" w:cs="Tahoma"/>
              </w:rPr>
              <w:t xml:space="preserve"> towards tenants and builds the relationship.</w:t>
            </w:r>
          </w:p>
        </w:tc>
      </w:tr>
      <w:tr w:rsidR="00E64A00" w:rsidRPr="00E1763D" w:rsidTr="00E1763D">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Individualised Approach</w:t>
            </w:r>
          </w:p>
        </w:tc>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Process designed to help people identify their own priority items/services they need for new tenancy.</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Additional options for purchasing of white goods and carpets with repayment through service charge.</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Ongoing support and advice throughout the tenancy.</w:t>
            </w:r>
          </w:p>
          <w:p w:rsidR="00E64A00" w:rsidRPr="00E1763D" w:rsidRDefault="00E64A00" w:rsidP="00E1763D">
            <w:pPr>
              <w:spacing w:after="0" w:line="240" w:lineRule="auto"/>
              <w:rPr>
                <w:rFonts w:ascii="Tahoma" w:hAnsi="Tahoma" w:cs="Tahoma"/>
              </w:rPr>
            </w:pPr>
          </w:p>
        </w:tc>
        <w:tc>
          <w:tcPr>
            <w:tcW w:w="4650" w:type="dxa"/>
          </w:tcPr>
          <w:p w:rsidR="00E64A00" w:rsidRPr="00E1763D" w:rsidRDefault="00E64A00" w:rsidP="00E1763D">
            <w:pPr>
              <w:spacing w:after="0" w:line="240" w:lineRule="auto"/>
              <w:rPr>
                <w:rFonts w:ascii="Tahoma" w:hAnsi="Tahoma" w:cs="Tahoma"/>
              </w:rPr>
            </w:pPr>
            <w:r w:rsidRPr="00E1763D">
              <w:rPr>
                <w:rFonts w:ascii="Tahoma" w:hAnsi="Tahoma" w:cs="Tahoma"/>
              </w:rPr>
              <w:t>Puts tenant in control and encourages greater personal responsibility. Ensures that tenants own priorities are addressed – all contributing to building strong positive relationship with Housing Association.</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Spreads cost of item/s at no additional cost (in interest) to tenant – avoiding them the need to borrow from other potentially more expensive sources.</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 xml:space="preserve">Tenants tend to come back to Housing Officer more readily in future if they are experiencing financial or other difficulties making problem resolution more likely. </w:t>
            </w:r>
          </w:p>
        </w:tc>
      </w:tr>
      <w:tr w:rsidR="00E64A00" w:rsidRPr="00E1763D" w:rsidTr="00E1763D">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Good links with other agencies</w:t>
            </w:r>
          </w:p>
        </w:tc>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The team has good links with a number of agencies in particular the following to which it sign posts people and facilitates referrals:</w:t>
            </w:r>
          </w:p>
          <w:p w:rsidR="00E64A00" w:rsidRPr="00E1763D" w:rsidRDefault="00E64A00" w:rsidP="00E1763D">
            <w:pPr>
              <w:spacing w:after="0" w:line="240" w:lineRule="auto"/>
              <w:rPr>
                <w:rFonts w:ascii="Tahoma" w:hAnsi="Tahoma" w:cs="Tahoma"/>
              </w:rPr>
            </w:pPr>
          </w:p>
          <w:p w:rsidR="00E64A00" w:rsidRPr="00E1763D" w:rsidRDefault="00E64A00" w:rsidP="00E1763D">
            <w:pPr>
              <w:pStyle w:val="ListParagraph"/>
              <w:numPr>
                <w:ilvl w:val="0"/>
                <w:numId w:val="7"/>
              </w:numPr>
              <w:rPr>
                <w:rFonts w:ascii="Tahoma" w:hAnsi="Tahoma" w:cs="Tahoma"/>
              </w:rPr>
            </w:pPr>
            <w:r w:rsidRPr="00E1763D">
              <w:rPr>
                <w:rFonts w:ascii="Tahoma" w:hAnsi="Tahoma" w:cs="Tahoma"/>
              </w:rPr>
              <w:t>Debt advice</w:t>
            </w:r>
          </w:p>
          <w:p w:rsidR="00E64A00" w:rsidRPr="00E1763D" w:rsidRDefault="00E64A00" w:rsidP="00E1763D">
            <w:pPr>
              <w:pStyle w:val="ListParagraph"/>
              <w:numPr>
                <w:ilvl w:val="0"/>
                <w:numId w:val="7"/>
              </w:numPr>
              <w:rPr>
                <w:rFonts w:ascii="Tahoma" w:hAnsi="Tahoma" w:cs="Tahoma"/>
              </w:rPr>
            </w:pPr>
            <w:r w:rsidRPr="00E1763D">
              <w:rPr>
                <w:rFonts w:ascii="Tahoma" w:hAnsi="Tahoma" w:cs="Tahoma"/>
              </w:rPr>
              <w:t>Energy advice</w:t>
            </w:r>
          </w:p>
          <w:p w:rsidR="00E64A00" w:rsidRPr="00E1763D" w:rsidRDefault="00E64A00" w:rsidP="00E1763D">
            <w:pPr>
              <w:pStyle w:val="ListParagraph"/>
              <w:numPr>
                <w:ilvl w:val="0"/>
                <w:numId w:val="7"/>
              </w:numPr>
              <w:rPr>
                <w:rFonts w:ascii="Tahoma" w:hAnsi="Tahoma" w:cs="Tahoma"/>
              </w:rPr>
            </w:pPr>
            <w:r w:rsidRPr="00E1763D">
              <w:rPr>
                <w:rFonts w:ascii="Tahoma" w:hAnsi="Tahoma" w:cs="Tahoma"/>
              </w:rPr>
              <w:t>Housing Benefit</w:t>
            </w:r>
          </w:p>
        </w:tc>
        <w:tc>
          <w:tcPr>
            <w:tcW w:w="4650" w:type="dxa"/>
          </w:tcPr>
          <w:p w:rsidR="00E64A00" w:rsidRPr="00E1763D" w:rsidRDefault="00E64A00" w:rsidP="00E1763D">
            <w:pPr>
              <w:spacing w:after="0" w:line="240" w:lineRule="auto"/>
              <w:rPr>
                <w:rFonts w:ascii="Tahoma" w:hAnsi="Tahoma" w:cs="Tahoma"/>
              </w:rPr>
            </w:pPr>
            <w:r w:rsidRPr="00E1763D">
              <w:rPr>
                <w:rFonts w:ascii="Tahoma" w:hAnsi="Tahoma" w:cs="Tahoma"/>
              </w:rPr>
              <w:t>Issues that are more complex and involved than the housing officers can deal with are addressed.</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‘Trouble shooting’ of housing benefit difficulties and arrangement in place for housing benefit office to email team, giving ‘early warning’ of issues.</w:t>
            </w:r>
          </w:p>
        </w:tc>
      </w:tr>
      <w:tr w:rsidR="00E64A00" w:rsidRPr="00E1763D" w:rsidTr="00E1763D">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Extra help</w:t>
            </w:r>
          </w:p>
        </w:tc>
        <w:tc>
          <w:tcPr>
            <w:tcW w:w="4649" w:type="dxa"/>
          </w:tcPr>
          <w:p w:rsidR="00E64A00" w:rsidRPr="00E1763D" w:rsidRDefault="00E64A00" w:rsidP="00E1763D">
            <w:pPr>
              <w:spacing w:after="0" w:line="240" w:lineRule="auto"/>
              <w:rPr>
                <w:rFonts w:ascii="Tahoma" w:hAnsi="Tahoma" w:cs="Tahoma"/>
              </w:rPr>
            </w:pPr>
            <w:r w:rsidRPr="00E1763D">
              <w:rPr>
                <w:rFonts w:ascii="Tahoma" w:hAnsi="Tahoma" w:cs="Tahoma"/>
              </w:rPr>
              <w:t>Signposting to local services</w:t>
            </w:r>
          </w:p>
          <w:p w:rsidR="00E64A00" w:rsidRPr="00E1763D" w:rsidRDefault="00E64A00" w:rsidP="00E1763D">
            <w:pPr>
              <w:spacing w:after="0" w:line="240" w:lineRule="auto"/>
              <w:rPr>
                <w:rFonts w:ascii="Tahoma" w:hAnsi="Tahoma" w:cs="Tahoma"/>
              </w:rPr>
            </w:pPr>
            <w:r w:rsidRPr="00E1763D">
              <w:rPr>
                <w:rFonts w:ascii="Tahoma" w:hAnsi="Tahoma" w:cs="Tahoma"/>
              </w:rPr>
              <w:t>Facilitating deliveries</w:t>
            </w:r>
          </w:p>
          <w:p w:rsidR="00E64A00" w:rsidRPr="00E1763D" w:rsidRDefault="00E64A00" w:rsidP="00E1763D">
            <w:pPr>
              <w:spacing w:after="0" w:line="240" w:lineRule="auto"/>
              <w:rPr>
                <w:rFonts w:ascii="Tahoma" w:hAnsi="Tahoma" w:cs="Tahoma"/>
              </w:rPr>
            </w:pPr>
            <w:r w:rsidRPr="00E1763D">
              <w:rPr>
                <w:rFonts w:ascii="Tahoma" w:hAnsi="Tahoma" w:cs="Tahoma"/>
              </w:rPr>
              <w:t>Changing utilities</w:t>
            </w:r>
          </w:p>
          <w:p w:rsidR="00E64A00" w:rsidRPr="00E1763D" w:rsidRDefault="00E64A00" w:rsidP="00E1763D">
            <w:pPr>
              <w:spacing w:after="0" w:line="240" w:lineRule="auto"/>
              <w:rPr>
                <w:rFonts w:ascii="Tahoma" w:hAnsi="Tahoma" w:cs="Tahoma"/>
              </w:rPr>
            </w:pPr>
            <w:r w:rsidRPr="00E1763D">
              <w:rPr>
                <w:rFonts w:ascii="Tahoma" w:hAnsi="Tahoma" w:cs="Tahoma"/>
              </w:rPr>
              <w:t>Change of Circumstances forms</w:t>
            </w:r>
          </w:p>
          <w:p w:rsidR="00E64A00" w:rsidRPr="00E1763D" w:rsidRDefault="00E64A00" w:rsidP="00E1763D">
            <w:pPr>
              <w:spacing w:after="0" w:line="240" w:lineRule="auto"/>
              <w:rPr>
                <w:rFonts w:ascii="Tahoma" w:hAnsi="Tahoma" w:cs="Tahoma"/>
              </w:rPr>
            </w:pPr>
            <w:r w:rsidRPr="00E1763D">
              <w:rPr>
                <w:rFonts w:ascii="Tahoma" w:hAnsi="Tahoma" w:cs="Tahoma"/>
              </w:rPr>
              <w:t>Meeting cost of services connections</w:t>
            </w:r>
          </w:p>
          <w:p w:rsidR="00E64A00" w:rsidRPr="00E1763D" w:rsidRDefault="00E64A00" w:rsidP="00E1763D">
            <w:pPr>
              <w:spacing w:after="0" w:line="240" w:lineRule="auto"/>
              <w:rPr>
                <w:rFonts w:ascii="Tahoma" w:hAnsi="Tahoma" w:cs="Tahoma"/>
              </w:rPr>
            </w:pPr>
            <w:r w:rsidRPr="00E1763D">
              <w:rPr>
                <w:rFonts w:ascii="Tahoma" w:hAnsi="Tahoma" w:cs="Tahoma"/>
              </w:rPr>
              <w:t>Making appointments</w:t>
            </w:r>
          </w:p>
          <w:p w:rsidR="00E64A00" w:rsidRPr="00E1763D" w:rsidRDefault="00E64A00" w:rsidP="00E1763D">
            <w:pPr>
              <w:spacing w:after="0" w:line="240" w:lineRule="auto"/>
              <w:rPr>
                <w:rFonts w:ascii="Tahoma" w:hAnsi="Tahoma" w:cs="Tahoma"/>
              </w:rPr>
            </w:pPr>
            <w:r w:rsidRPr="00E1763D">
              <w:rPr>
                <w:rFonts w:ascii="Tahoma" w:hAnsi="Tahoma" w:cs="Tahoma"/>
              </w:rPr>
              <w:t>Interpreting letters</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Office services (Scans, copies)</w:t>
            </w:r>
          </w:p>
        </w:tc>
        <w:tc>
          <w:tcPr>
            <w:tcW w:w="4650" w:type="dxa"/>
          </w:tcPr>
          <w:p w:rsidR="00E64A00" w:rsidRPr="00E1763D" w:rsidRDefault="00E64A00" w:rsidP="00E1763D">
            <w:pPr>
              <w:spacing w:after="0" w:line="240" w:lineRule="auto"/>
              <w:rPr>
                <w:rFonts w:ascii="Tahoma" w:hAnsi="Tahoma" w:cs="Tahoma"/>
              </w:rPr>
            </w:pPr>
            <w:r w:rsidRPr="00E1763D">
              <w:rPr>
                <w:rFonts w:ascii="Tahoma" w:hAnsi="Tahoma" w:cs="Tahoma"/>
              </w:rPr>
              <w:t>E.g. Nearest doctor, dentist’</w:t>
            </w: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p>
          <w:p w:rsidR="00E64A00" w:rsidRPr="00E1763D" w:rsidRDefault="00E64A00" w:rsidP="00E1763D">
            <w:pPr>
              <w:spacing w:after="0" w:line="240" w:lineRule="auto"/>
              <w:rPr>
                <w:rFonts w:ascii="Tahoma" w:hAnsi="Tahoma" w:cs="Tahoma"/>
              </w:rPr>
            </w:pPr>
            <w:r w:rsidRPr="00E1763D">
              <w:rPr>
                <w:rFonts w:ascii="Tahoma" w:hAnsi="Tahoma" w:cs="Tahoma"/>
              </w:rPr>
              <w:t>This can be from the Tenancy Sustainment Fund.</w:t>
            </w:r>
          </w:p>
          <w:p w:rsidR="00E64A00" w:rsidRPr="00E1763D" w:rsidRDefault="00E64A00" w:rsidP="00E1763D">
            <w:pPr>
              <w:spacing w:after="0" w:line="240" w:lineRule="auto"/>
              <w:rPr>
                <w:rFonts w:ascii="Tahoma" w:hAnsi="Tahoma" w:cs="Tahoma"/>
              </w:rPr>
            </w:pPr>
            <w:r w:rsidRPr="00E1763D">
              <w:rPr>
                <w:rFonts w:ascii="Tahoma" w:hAnsi="Tahoma" w:cs="Tahoma"/>
              </w:rPr>
              <w:t>Helps people who may have poor or no reading skills.</w:t>
            </w:r>
          </w:p>
          <w:p w:rsidR="00E64A00" w:rsidRPr="00E1763D" w:rsidRDefault="00E64A00" w:rsidP="00E1763D">
            <w:pPr>
              <w:spacing w:after="0" w:line="240" w:lineRule="auto"/>
              <w:rPr>
                <w:rFonts w:ascii="Tahoma" w:hAnsi="Tahoma" w:cs="Tahoma"/>
              </w:rPr>
            </w:pPr>
            <w:r w:rsidRPr="00E1763D">
              <w:rPr>
                <w:rFonts w:ascii="Tahoma" w:hAnsi="Tahoma" w:cs="Tahoma"/>
              </w:rPr>
              <w:t>Can speed up benefits claims, etc.</w:t>
            </w:r>
          </w:p>
        </w:tc>
      </w:tr>
    </w:tbl>
    <w:p w:rsidR="00E64A00" w:rsidRDefault="00E64A00">
      <w:pPr>
        <w:rPr>
          <w:rFonts w:ascii="Tahoma" w:hAnsi="Tahoma" w:cs="Tahoma"/>
          <w:b/>
        </w:rPr>
      </w:pPr>
      <w:r w:rsidRPr="00D449A7">
        <w:rPr>
          <w:rFonts w:ascii="Tahoma" w:hAnsi="Tahoma" w:cs="Tahoma"/>
          <w:b/>
        </w:rPr>
        <w:t xml:space="preserve">What </w:t>
      </w:r>
      <w:r>
        <w:rPr>
          <w:rFonts w:ascii="Tahoma" w:hAnsi="Tahoma" w:cs="Tahoma"/>
          <w:b/>
        </w:rPr>
        <w:t>were the outcomes?</w:t>
      </w:r>
    </w:p>
    <w:p w:rsidR="00E64A00" w:rsidRPr="00F60A6D" w:rsidRDefault="00E64A00">
      <w:pPr>
        <w:rPr>
          <w:rFonts w:ascii="Tahoma" w:hAnsi="Tahoma" w:cs="Tahoma"/>
        </w:rPr>
      </w:pPr>
      <w:r>
        <w:rPr>
          <w:rFonts w:ascii="Tahoma" w:hAnsi="Tahoma" w:cs="Tahoma"/>
        </w:rPr>
        <w:t>‘Going the extra mile’ for tenants’ sets up a virtuous cycle that ultimately results in more sustained tenancies. However, it is the human impact that is of particular relevance here. Recent feedback from tenants includes comments like, “It has changed my life” and “I’ve got my brain back”. The housing officers themselves consider pragmatically their flexible and supportive approach as reducing workload in the long run.</w:t>
      </w:r>
    </w:p>
    <w:p w:rsidR="00E64A00" w:rsidRDefault="00E64A00">
      <w:pPr>
        <w:rPr>
          <w:rFonts w:ascii="Tahoma" w:hAnsi="Tahoma" w:cs="Tahoma"/>
          <w:b/>
        </w:rPr>
      </w:pPr>
      <w:r>
        <w:rPr>
          <w:rFonts w:ascii="Tahoma" w:hAnsi="Tahoma" w:cs="Tahoma"/>
          <w:b/>
        </w:rPr>
        <w:t>Wealth and Well-being</w:t>
      </w:r>
      <w:r w:rsidRPr="00834BEF">
        <w:rPr>
          <w:rFonts w:ascii="Tahoma" w:hAnsi="Tahoma" w:cs="Tahoma"/>
          <w:b/>
        </w:rPr>
        <w:t xml:space="preserve"> </w:t>
      </w:r>
    </w:p>
    <w:p w:rsidR="00E64A00" w:rsidRPr="00834BEF" w:rsidRDefault="00E64A00" w:rsidP="009C50C9">
      <w:pPr>
        <w:rPr>
          <w:rFonts w:ascii="Tahoma" w:hAnsi="Tahoma" w:cs="Tahoma"/>
        </w:rPr>
      </w:pPr>
      <w:r>
        <w:rPr>
          <w:rFonts w:ascii="Tahoma" w:hAnsi="Tahoma" w:cs="Tahoma"/>
        </w:rPr>
        <w:t xml:space="preserve">The team has enabled </w:t>
      </w:r>
      <w:r w:rsidRPr="00834BEF">
        <w:rPr>
          <w:rFonts w:ascii="Tahoma" w:hAnsi="Tahoma" w:cs="Tahoma"/>
        </w:rPr>
        <w:t>tenants maximise their income and access external funding</w:t>
      </w:r>
      <w:r>
        <w:rPr>
          <w:rFonts w:ascii="Tahoma" w:hAnsi="Tahoma" w:cs="Tahoma"/>
        </w:rPr>
        <w:t xml:space="preserve">. </w:t>
      </w:r>
      <w:r w:rsidRPr="00834BEF">
        <w:rPr>
          <w:rFonts w:ascii="Tahoma" w:hAnsi="Tahoma" w:cs="Tahoma"/>
        </w:rPr>
        <w:t>The average amount per tenant accessed from the DWP and SWF has been £1,200, however for larger family homes the value has at time reached £2,000.</w:t>
      </w:r>
    </w:p>
    <w:p w:rsidR="00E64A00" w:rsidRPr="00834BEF" w:rsidRDefault="00E64A00">
      <w:pPr>
        <w:rPr>
          <w:rFonts w:ascii="Tahoma" w:hAnsi="Tahoma" w:cs="Tahoma"/>
        </w:rPr>
      </w:pPr>
      <w:r>
        <w:rPr>
          <w:rFonts w:ascii="Tahoma" w:hAnsi="Tahoma" w:cs="Tahoma"/>
        </w:rPr>
        <w:t>MHA also provides money though its Tenancy Sustainment</w:t>
      </w:r>
      <w:r w:rsidRPr="00834BEF">
        <w:rPr>
          <w:rFonts w:ascii="Tahoma" w:hAnsi="Tahoma" w:cs="Tahoma"/>
        </w:rPr>
        <w:t xml:space="preserve"> fund</w:t>
      </w:r>
      <w:r>
        <w:rPr>
          <w:rFonts w:ascii="Tahoma" w:hAnsi="Tahoma" w:cs="Tahoma"/>
        </w:rPr>
        <w:t xml:space="preserve">. The table below shows how, in most years, over half of new tenants access this fund to set up home and work towards financial stability. In 2014/15 the team was able to help tenants access </w:t>
      </w:r>
      <w:r w:rsidRPr="00834BEF">
        <w:rPr>
          <w:rFonts w:ascii="Tahoma" w:hAnsi="Tahoma" w:cs="Tahoma"/>
        </w:rPr>
        <w:t>items and vouchers from Discretionary Housing Payments and Scottish Welfare Fund</w:t>
      </w:r>
      <w:r>
        <w:rPr>
          <w:rFonts w:ascii="Tahoma" w:hAnsi="Tahoma" w:cs="Tahoma"/>
        </w:rPr>
        <w:t xml:space="preserve"> (SWF) to such an extent as to reduce demand on its own</w:t>
      </w:r>
      <w:r w:rsidRPr="00834BEF">
        <w:rPr>
          <w:rFonts w:ascii="Tahoma" w:hAnsi="Tahoma" w:cs="Tahoma"/>
        </w:rPr>
        <w:t xml:space="preserve"> Fund.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6"/>
        <w:gridCol w:w="3621"/>
        <w:gridCol w:w="3627"/>
        <w:gridCol w:w="3400"/>
      </w:tblGrid>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Year</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Amount Spent</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Number of New Tenants</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No. received Financial Assistance</w:t>
            </w:r>
          </w:p>
        </w:tc>
      </w:tr>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2009/10</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£9,040</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39</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24</w:t>
            </w:r>
          </w:p>
        </w:tc>
      </w:tr>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2010/11</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£6,771</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30</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18</w:t>
            </w:r>
          </w:p>
        </w:tc>
      </w:tr>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2011/12</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£7,036</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38</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21</w:t>
            </w:r>
          </w:p>
        </w:tc>
      </w:tr>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2012/13</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£5,272</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31</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13</w:t>
            </w:r>
          </w:p>
        </w:tc>
      </w:tr>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2013/14</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£10,094</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49</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26</w:t>
            </w:r>
          </w:p>
        </w:tc>
      </w:tr>
      <w:tr w:rsidR="00E64A00" w:rsidRPr="00E1763D" w:rsidTr="00E1763D">
        <w:tc>
          <w:tcPr>
            <w:tcW w:w="3526" w:type="dxa"/>
          </w:tcPr>
          <w:p w:rsidR="00E64A00" w:rsidRPr="00E1763D" w:rsidRDefault="00E64A00" w:rsidP="00E1763D">
            <w:pPr>
              <w:spacing w:after="0" w:line="240" w:lineRule="auto"/>
              <w:rPr>
                <w:rFonts w:ascii="Tahoma" w:hAnsi="Tahoma" w:cs="Tahoma"/>
              </w:rPr>
            </w:pPr>
            <w:r w:rsidRPr="00E1763D">
              <w:rPr>
                <w:rFonts w:ascii="Tahoma" w:hAnsi="Tahoma" w:cs="Tahoma"/>
              </w:rPr>
              <w:t>2014/15</w:t>
            </w:r>
          </w:p>
        </w:tc>
        <w:tc>
          <w:tcPr>
            <w:tcW w:w="3621" w:type="dxa"/>
          </w:tcPr>
          <w:p w:rsidR="00E64A00" w:rsidRPr="00E1763D" w:rsidRDefault="00E64A00" w:rsidP="00E1763D">
            <w:pPr>
              <w:spacing w:after="0" w:line="240" w:lineRule="auto"/>
              <w:rPr>
                <w:rFonts w:ascii="Tahoma" w:hAnsi="Tahoma" w:cs="Tahoma"/>
              </w:rPr>
            </w:pPr>
            <w:r w:rsidRPr="00E1763D">
              <w:rPr>
                <w:rFonts w:ascii="Tahoma" w:hAnsi="Tahoma" w:cs="Tahoma"/>
              </w:rPr>
              <w:t>£6,200</w:t>
            </w:r>
          </w:p>
        </w:tc>
        <w:tc>
          <w:tcPr>
            <w:tcW w:w="3627" w:type="dxa"/>
          </w:tcPr>
          <w:p w:rsidR="00E64A00" w:rsidRPr="00E1763D" w:rsidRDefault="00E64A00" w:rsidP="00E1763D">
            <w:pPr>
              <w:spacing w:after="0" w:line="240" w:lineRule="auto"/>
              <w:rPr>
                <w:rFonts w:ascii="Tahoma" w:hAnsi="Tahoma" w:cs="Tahoma"/>
              </w:rPr>
            </w:pPr>
            <w:r w:rsidRPr="00E1763D">
              <w:rPr>
                <w:rFonts w:ascii="Tahoma" w:hAnsi="Tahoma" w:cs="Tahoma"/>
              </w:rPr>
              <w:t>77</w:t>
            </w:r>
          </w:p>
        </w:tc>
        <w:tc>
          <w:tcPr>
            <w:tcW w:w="3400" w:type="dxa"/>
          </w:tcPr>
          <w:p w:rsidR="00E64A00" w:rsidRPr="00E1763D" w:rsidRDefault="00E64A00" w:rsidP="00E1763D">
            <w:pPr>
              <w:spacing w:after="0" w:line="240" w:lineRule="auto"/>
              <w:rPr>
                <w:rFonts w:ascii="Tahoma" w:hAnsi="Tahoma" w:cs="Tahoma"/>
              </w:rPr>
            </w:pPr>
            <w:r w:rsidRPr="00E1763D">
              <w:rPr>
                <w:rFonts w:ascii="Tahoma" w:hAnsi="Tahoma" w:cs="Tahoma"/>
              </w:rPr>
              <w:t>23</w:t>
            </w:r>
          </w:p>
        </w:tc>
      </w:tr>
    </w:tbl>
    <w:p w:rsidR="00E64A00" w:rsidRDefault="00E64A00" w:rsidP="00DE2848">
      <w:pPr>
        <w:rPr>
          <w:rFonts w:ascii="Tahoma" w:hAnsi="Tahoma" w:cs="Tahoma"/>
        </w:rPr>
      </w:pPr>
    </w:p>
    <w:p w:rsidR="00E64A00" w:rsidRPr="00834BEF" w:rsidRDefault="00E64A00" w:rsidP="00DE2848">
      <w:pPr>
        <w:rPr>
          <w:rFonts w:ascii="Tahoma" w:hAnsi="Tahoma" w:cs="Tahoma"/>
        </w:rPr>
      </w:pPr>
      <w:r>
        <w:rPr>
          <w:rFonts w:ascii="Tahoma" w:hAnsi="Tahoma" w:cs="Tahoma"/>
        </w:rPr>
        <w:t xml:space="preserve">This table shows how the </w:t>
      </w:r>
      <w:r w:rsidRPr="00834BEF">
        <w:rPr>
          <w:rFonts w:ascii="Tahoma" w:hAnsi="Tahoma" w:cs="Tahoma"/>
        </w:rPr>
        <w:t>Tenancy Sustainment</w:t>
      </w:r>
      <w:r>
        <w:rPr>
          <w:rFonts w:ascii="Tahoma" w:hAnsi="Tahoma" w:cs="Tahoma"/>
        </w:rPr>
        <w:t xml:space="preserve"> fund has been spent, with the bulk of spending on creating a basic home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871"/>
        <w:gridCol w:w="1872"/>
        <w:gridCol w:w="1872"/>
        <w:gridCol w:w="1872"/>
        <w:gridCol w:w="1872"/>
        <w:gridCol w:w="1872"/>
      </w:tblGrid>
      <w:tr w:rsidR="00E64A00" w:rsidRPr="00E1763D" w:rsidTr="00E1763D">
        <w:tc>
          <w:tcPr>
            <w:tcW w:w="2943" w:type="dxa"/>
          </w:tcPr>
          <w:p w:rsidR="00E64A00" w:rsidRPr="00E1763D" w:rsidRDefault="00E64A00" w:rsidP="00E1763D">
            <w:pPr>
              <w:spacing w:after="0" w:line="240" w:lineRule="auto"/>
              <w:rPr>
                <w:rFonts w:ascii="Tahoma" w:hAnsi="Tahoma" w:cs="Tahoma"/>
              </w:rPr>
            </w:pPr>
          </w:p>
        </w:tc>
        <w:tc>
          <w:tcPr>
            <w:tcW w:w="1871" w:type="dxa"/>
          </w:tcPr>
          <w:p w:rsidR="00E64A00" w:rsidRPr="00E1763D" w:rsidRDefault="00E64A00" w:rsidP="00E1763D">
            <w:pPr>
              <w:spacing w:after="0" w:line="240" w:lineRule="auto"/>
              <w:rPr>
                <w:rFonts w:ascii="Tahoma" w:hAnsi="Tahoma" w:cs="Tahoma"/>
              </w:rPr>
            </w:pPr>
            <w:r w:rsidRPr="00E1763D">
              <w:rPr>
                <w:rFonts w:ascii="Tahoma" w:hAnsi="Tahoma" w:cs="Tahoma"/>
              </w:rPr>
              <w:t>2009/10</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2010/11</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2011/12</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2012/13</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2013/14</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2014/15</w:t>
            </w:r>
          </w:p>
        </w:tc>
      </w:tr>
      <w:tr w:rsidR="00E64A00" w:rsidRPr="00E1763D" w:rsidTr="00E1763D">
        <w:tc>
          <w:tcPr>
            <w:tcW w:w="2943" w:type="dxa"/>
          </w:tcPr>
          <w:p w:rsidR="00E64A00" w:rsidRPr="00E1763D" w:rsidRDefault="00E64A00" w:rsidP="00E1763D">
            <w:pPr>
              <w:spacing w:after="0" w:line="240" w:lineRule="auto"/>
              <w:rPr>
                <w:rFonts w:ascii="Tahoma" w:hAnsi="Tahoma" w:cs="Tahoma"/>
              </w:rPr>
            </w:pPr>
            <w:r w:rsidRPr="00E1763D">
              <w:rPr>
                <w:rFonts w:ascii="Tahoma" w:hAnsi="Tahoma" w:cs="Tahoma"/>
              </w:rPr>
              <w:t>Rent</w:t>
            </w:r>
          </w:p>
        </w:tc>
        <w:tc>
          <w:tcPr>
            <w:tcW w:w="1871" w:type="dxa"/>
          </w:tcPr>
          <w:p w:rsidR="00E64A00" w:rsidRPr="00E1763D" w:rsidRDefault="00E64A00" w:rsidP="00E1763D">
            <w:pPr>
              <w:spacing w:after="0" w:line="240" w:lineRule="auto"/>
              <w:rPr>
                <w:rFonts w:ascii="Tahoma" w:hAnsi="Tahoma" w:cs="Tahoma"/>
              </w:rPr>
            </w:pPr>
            <w:r w:rsidRPr="00E1763D">
              <w:rPr>
                <w:rFonts w:ascii="Tahoma" w:hAnsi="Tahoma" w:cs="Tahoma"/>
              </w:rPr>
              <w:t>£1,039</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£772</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£842</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£745</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£1,316</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£1,737</w:t>
            </w:r>
          </w:p>
        </w:tc>
      </w:tr>
      <w:tr w:rsidR="00E64A00" w:rsidRPr="00E1763D" w:rsidTr="00E1763D">
        <w:tc>
          <w:tcPr>
            <w:tcW w:w="2943" w:type="dxa"/>
          </w:tcPr>
          <w:p w:rsidR="00E64A00" w:rsidRPr="00E1763D" w:rsidRDefault="00E64A00" w:rsidP="00E1763D">
            <w:pPr>
              <w:spacing w:after="0" w:line="240" w:lineRule="auto"/>
              <w:rPr>
                <w:rFonts w:ascii="Tahoma" w:hAnsi="Tahoma" w:cs="Tahoma"/>
              </w:rPr>
            </w:pPr>
            <w:r w:rsidRPr="00E1763D">
              <w:rPr>
                <w:rFonts w:ascii="Tahoma" w:hAnsi="Tahoma" w:cs="Tahoma"/>
              </w:rPr>
              <w:t>Furnishings &amp; White Goods</w:t>
            </w:r>
          </w:p>
        </w:tc>
        <w:tc>
          <w:tcPr>
            <w:tcW w:w="1871" w:type="dxa"/>
          </w:tcPr>
          <w:p w:rsidR="00E64A00" w:rsidRPr="00E1763D" w:rsidRDefault="00E64A00" w:rsidP="00E1763D">
            <w:pPr>
              <w:spacing w:after="0" w:line="240" w:lineRule="auto"/>
              <w:rPr>
                <w:rFonts w:ascii="Tahoma" w:hAnsi="Tahoma" w:cs="Tahoma"/>
              </w:rPr>
            </w:pPr>
            <w:r w:rsidRPr="00E1763D">
              <w:rPr>
                <w:rFonts w:ascii="Tahoma" w:hAnsi="Tahoma" w:cs="Tahoma"/>
              </w:rPr>
              <w:t>£8,000</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£6,000</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£6,000</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£4,000</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£8,000</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£4,000</w:t>
            </w:r>
          </w:p>
        </w:tc>
      </w:tr>
      <w:tr w:rsidR="00E64A00" w:rsidRPr="00E1763D" w:rsidTr="00E1763D">
        <w:tc>
          <w:tcPr>
            <w:tcW w:w="2943" w:type="dxa"/>
          </w:tcPr>
          <w:p w:rsidR="00E64A00" w:rsidRPr="00E1763D" w:rsidRDefault="00E64A00" w:rsidP="00E1763D">
            <w:pPr>
              <w:spacing w:after="0" w:line="240" w:lineRule="auto"/>
              <w:rPr>
                <w:rFonts w:ascii="Tahoma" w:hAnsi="Tahoma" w:cs="Tahoma"/>
              </w:rPr>
            </w:pPr>
            <w:r w:rsidRPr="00E1763D">
              <w:rPr>
                <w:rFonts w:ascii="Tahoma" w:hAnsi="Tahoma" w:cs="Tahoma"/>
              </w:rPr>
              <w:t>Connection of White Goods</w:t>
            </w:r>
          </w:p>
        </w:tc>
        <w:tc>
          <w:tcPr>
            <w:tcW w:w="1871" w:type="dxa"/>
          </w:tcPr>
          <w:p w:rsidR="00E64A00" w:rsidRPr="00E1763D" w:rsidRDefault="00E64A00" w:rsidP="00E1763D">
            <w:pPr>
              <w:spacing w:after="0" w:line="240" w:lineRule="auto"/>
              <w:rPr>
                <w:rFonts w:ascii="Tahoma" w:hAnsi="Tahoma" w:cs="Tahoma"/>
              </w:rPr>
            </w:pPr>
          </w:p>
        </w:tc>
        <w:tc>
          <w:tcPr>
            <w:tcW w:w="1872" w:type="dxa"/>
          </w:tcPr>
          <w:p w:rsidR="00E64A00" w:rsidRPr="00E1763D" w:rsidRDefault="00E64A00" w:rsidP="00E1763D">
            <w:pPr>
              <w:spacing w:after="0" w:line="240" w:lineRule="auto"/>
              <w:rPr>
                <w:rFonts w:ascii="Tahoma" w:hAnsi="Tahoma" w:cs="Tahoma"/>
              </w:rPr>
            </w:pP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£195</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£524</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£779</w:t>
            </w:r>
          </w:p>
        </w:tc>
        <w:tc>
          <w:tcPr>
            <w:tcW w:w="1872" w:type="dxa"/>
          </w:tcPr>
          <w:p w:rsidR="00E64A00" w:rsidRPr="00E1763D" w:rsidRDefault="00E64A00" w:rsidP="00E1763D">
            <w:pPr>
              <w:spacing w:after="0" w:line="240" w:lineRule="auto"/>
              <w:rPr>
                <w:rFonts w:ascii="Tahoma" w:hAnsi="Tahoma" w:cs="Tahoma"/>
              </w:rPr>
            </w:pPr>
            <w:r w:rsidRPr="00E1763D">
              <w:rPr>
                <w:rFonts w:ascii="Tahoma" w:hAnsi="Tahoma" w:cs="Tahoma"/>
              </w:rPr>
              <w:t>£463</w:t>
            </w:r>
          </w:p>
        </w:tc>
      </w:tr>
    </w:tbl>
    <w:p w:rsidR="00E64A00" w:rsidRDefault="00E64A00">
      <w:pPr>
        <w:rPr>
          <w:rFonts w:ascii="Tahoma" w:hAnsi="Tahoma" w:cs="Tahoma"/>
        </w:rPr>
      </w:pPr>
    </w:p>
    <w:p w:rsidR="00E64A00" w:rsidRDefault="00E64A00" w:rsidP="009C50C9">
      <w:pPr>
        <w:rPr>
          <w:rFonts w:ascii="Tahoma" w:hAnsi="Tahoma" w:cs="Tahoma"/>
        </w:rPr>
      </w:pPr>
      <w:r w:rsidRPr="00D449A7">
        <w:rPr>
          <w:rFonts w:ascii="Tahoma" w:hAnsi="Tahoma" w:cs="Tahoma"/>
          <w:b/>
        </w:rPr>
        <w:t>Contacts - To find out more</w:t>
      </w:r>
      <w:r>
        <w:rPr>
          <w:rFonts w:ascii="Tahoma" w:hAnsi="Tahoma" w:cs="Tahoma"/>
          <w:b/>
        </w:rPr>
        <w:t>:</w:t>
      </w:r>
      <w:r w:rsidRPr="007A5BB5">
        <w:rPr>
          <w:rFonts w:ascii="Tahoma" w:hAnsi="Tahoma" w:cs="Tahoma"/>
        </w:rPr>
        <w:t xml:space="preserve"> Brenda Tonner</w:t>
      </w:r>
      <w:r>
        <w:rPr>
          <w:rFonts w:ascii="Tahoma" w:hAnsi="Tahoma" w:cs="Tahoma"/>
        </w:rPr>
        <w:t xml:space="preserve">, 0131 336 5282 </w:t>
      </w:r>
      <w:hyperlink r:id="rId7" w:history="1">
        <w:r w:rsidRPr="00017D23">
          <w:rPr>
            <w:rStyle w:val="Hyperlink"/>
            <w:rFonts w:ascii="Tahoma" w:hAnsi="Tahoma" w:cs="Tahoma"/>
          </w:rPr>
          <w:t>BTonner@muirhouseha.org.ukl</w:t>
        </w:r>
      </w:hyperlink>
    </w:p>
    <w:sectPr w:rsidR="00E64A00" w:rsidSect="00112C0D">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00" w:rsidRDefault="00E64A00" w:rsidP="0090434C">
      <w:pPr>
        <w:spacing w:after="0" w:line="240" w:lineRule="auto"/>
      </w:pPr>
      <w:r>
        <w:separator/>
      </w:r>
    </w:p>
  </w:endnote>
  <w:endnote w:type="continuationSeparator" w:id="0">
    <w:p w:rsidR="00E64A00" w:rsidRDefault="00E64A00" w:rsidP="00904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00" w:rsidRDefault="00E64A00" w:rsidP="0090434C">
      <w:pPr>
        <w:spacing w:after="0" w:line="240" w:lineRule="auto"/>
      </w:pPr>
      <w:r>
        <w:separator/>
      </w:r>
    </w:p>
  </w:footnote>
  <w:footnote w:type="continuationSeparator" w:id="0">
    <w:p w:rsidR="00E64A00" w:rsidRDefault="00E64A00" w:rsidP="00904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3E78"/>
    <w:multiLevelType w:val="hybridMultilevel"/>
    <w:tmpl w:val="A9C8DA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3C3B4D"/>
    <w:multiLevelType w:val="multilevel"/>
    <w:tmpl w:val="5F8C1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F4A4D49"/>
    <w:multiLevelType w:val="multilevel"/>
    <w:tmpl w:val="58122DA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12D517A"/>
    <w:multiLevelType w:val="multilevel"/>
    <w:tmpl w:val="FB7083A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8D87F30"/>
    <w:multiLevelType w:val="multilevel"/>
    <w:tmpl w:val="74E4D7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5EB0BC0"/>
    <w:multiLevelType w:val="multilevel"/>
    <w:tmpl w:val="F126CA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9E467F9"/>
    <w:multiLevelType w:val="hybridMultilevel"/>
    <w:tmpl w:val="2DBE2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B733F39"/>
    <w:multiLevelType w:val="multilevel"/>
    <w:tmpl w:val="7CB00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BC5"/>
    <w:rsid w:val="000046B8"/>
    <w:rsid w:val="00017D23"/>
    <w:rsid w:val="0002777C"/>
    <w:rsid w:val="00042CA8"/>
    <w:rsid w:val="000761C7"/>
    <w:rsid w:val="00080807"/>
    <w:rsid w:val="00093814"/>
    <w:rsid w:val="000B6606"/>
    <w:rsid w:val="000C286A"/>
    <w:rsid w:val="000C75F9"/>
    <w:rsid w:val="000F403A"/>
    <w:rsid w:val="00104762"/>
    <w:rsid w:val="00112C0D"/>
    <w:rsid w:val="00180AA8"/>
    <w:rsid w:val="00195810"/>
    <w:rsid w:val="001C7683"/>
    <w:rsid w:val="001D0600"/>
    <w:rsid w:val="001E29CA"/>
    <w:rsid w:val="00201459"/>
    <w:rsid w:val="00233B0A"/>
    <w:rsid w:val="00265C60"/>
    <w:rsid w:val="00283045"/>
    <w:rsid w:val="002A5307"/>
    <w:rsid w:val="002D174C"/>
    <w:rsid w:val="002D4114"/>
    <w:rsid w:val="00337ED8"/>
    <w:rsid w:val="003439EB"/>
    <w:rsid w:val="00343A56"/>
    <w:rsid w:val="00344A9D"/>
    <w:rsid w:val="00375FD4"/>
    <w:rsid w:val="003B0214"/>
    <w:rsid w:val="004247FD"/>
    <w:rsid w:val="00453350"/>
    <w:rsid w:val="004A516B"/>
    <w:rsid w:val="00513A42"/>
    <w:rsid w:val="00534F86"/>
    <w:rsid w:val="00561AEA"/>
    <w:rsid w:val="005669E6"/>
    <w:rsid w:val="00570461"/>
    <w:rsid w:val="005C674B"/>
    <w:rsid w:val="005E65CE"/>
    <w:rsid w:val="005F2A6E"/>
    <w:rsid w:val="006A4ED2"/>
    <w:rsid w:val="006B0DAE"/>
    <w:rsid w:val="006D3290"/>
    <w:rsid w:val="006E49F2"/>
    <w:rsid w:val="007049F6"/>
    <w:rsid w:val="00704A4C"/>
    <w:rsid w:val="00715B0E"/>
    <w:rsid w:val="00722972"/>
    <w:rsid w:val="00765AD5"/>
    <w:rsid w:val="007747EF"/>
    <w:rsid w:val="007A5BB5"/>
    <w:rsid w:val="007C243F"/>
    <w:rsid w:val="00815734"/>
    <w:rsid w:val="00831531"/>
    <w:rsid w:val="00834BEF"/>
    <w:rsid w:val="00840B5F"/>
    <w:rsid w:val="00845630"/>
    <w:rsid w:val="00864D2A"/>
    <w:rsid w:val="00873591"/>
    <w:rsid w:val="00877B56"/>
    <w:rsid w:val="008A6256"/>
    <w:rsid w:val="008F430F"/>
    <w:rsid w:val="0090434C"/>
    <w:rsid w:val="00923C9A"/>
    <w:rsid w:val="009244ED"/>
    <w:rsid w:val="00965F6D"/>
    <w:rsid w:val="0097154B"/>
    <w:rsid w:val="0099508B"/>
    <w:rsid w:val="009C50C9"/>
    <w:rsid w:val="009C6354"/>
    <w:rsid w:val="009C71F9"/>
    <w:rsid w:val="009D7C2E"/>
    <w:rsid w:val="00A30EB5"/>
    <w:rsid w:val="00A82661"/>
    <w:rsid w:val="00AC558A"/>
    <w:rsid w:val="00B1470C"/>
    <w:rsid w:val="00B2302F"/>
    <w:rsid w:val="00B253DB"/>
    <w:rsid w:val="00B60201"/>
    <w:rsid w:val="00B75978"/>
    <w:rsid w:val="00BA75BC"/>
    <w:rsid w:val="00BB2CDB"/>
    <w:rsid w:val="00BD4786"/>
    <w:rsid w:val="00C04219"/>
    <w:rsid w:val="00C37311"/>
    <w:rsid w:val="00C63BC5"/>
    <w:rsid w:val="00C72727"/>
    <w:rsid w:val="00C807F5"/>
    <w:rsid w:val="00C840C1"/>
    <w:rsid w:val="00C9657F"/>
    <w:rsid w:val="00CE045E"/>
    <w:rsid w:val="00CF777F"/>
    <w:rsid w:val="00CF7B0D"/>
    <w:rsid w:val="00D2791C"/>
    <w:rsid w:val="00D3109E"/>
    <w:rsid w:val="00D449A7"/>
    <w:rsid w:val="00D61D1D"/>
    <w:rsid w:val="00D754AD"/>
    <w:rsid w:val="00D86939"/>
    <w:rsid w:val="00DA69E4"/>
    <w:rsid w:val="00DB0063"/>
    <w:rsid w:val="00DD26F1"/>
    <w:rsid w:val="00DE2848"/>
    <w:rsid w:val="00E07A30"/>
    <w:rsid w:val="00E15CEF"/>
    <w:rsid w:val="00E1763D"/>
    <w:rsid w:val="00E32156"/>
    <w:rsid w:val="00E45648"/>
    <w:rsid w:val="00E64A00"/>
    <w:rsid w:val="00E66CF7"/>
    <w:rsid w:val="00E70EAF"/>
    <w:rsid w:val="00EA33A9"/>
    <w:rsid w:val="00EB36DB"/>
    <w:rsid w:val="00EF6322"/>
    <w:rsid w:val="00F0292F"/>
    <w:rsid w:val="00F03E5A"/>
    <w:rsid w:val="00F14B7B"/>
    <w:rsid w:val="00F24FAD"/>
    <w:rsid w:val="00F50E3B"/>
    <w:rsid w:val="00F60A6D"/>
    <w:rsid w:val="00F87750"/>
    <w:rsid w:val="00F91A74"/>
    <w:rsid w:val="00FB2BDB"/>
    <w:rsid w:val="00FC3DFA"/>
    <w:rsid w:val="00FC6227"/>
    <w:rsid w:val="00FF2E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5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840C1"/>
    <w:rPr>
      <w:rFonts w:cs="Times New Roman"/>
      <w:color w:val="0563C1"/>
      <w:u w:val="single"/>
    </w:rPr>
  </w:style>
  <w:style w:type="character" w:styleId="FollowedHyperlink">
    <w:name w:val="FollowedHyperlink"/>
    <w:basedOn w:val="DefaultParagraphFont"/>
    <w:uiPriority w:val="99"/>
    <w:semiHidden/>
    <w:rsid w:val="00CF7B0D"/>
    <w:rPr>
      <w:rFonts w:cs="Times New Roman"/>
      <w:color w:val="954F72"/>
      <w:u w:val="single"/>
    </w:rPr>
  </w:style>
  <w:style w:type="table" w:styleId="TableGrid">
    <w:name w:val="Table Grid"/>
    <w:basedOn w:val="TableNormal"/>
    <w:uiPriority w:val="99"/>
    <w:rsid w:val="005669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0434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0434C"/>
    <w:rPr>
      <w:rFonts w:cs="Times New Roman"/>
      <w:sz w:val="20"/>
      <w:szCs w:val="20"/>
    </w:rPr>
  </w:style>
  <w:style w:type="character" w:styleId="FootnoteReference">
    <w:name w:val="footnote reference"/>
    <w:basedOn w:val="DefaultParagraphFont"/>
    <w:uiPriority w:val="99"/>
    <w:semiHidden/>
    <w:rsid w:val="0090434C"/>
    <w:rPr>
      <w:rFonts w:cs="Times New Roman"/>
      <w:vertAlign w:val="superscript"/>
    </w:rPr>
  </w:style>
  <w:style w:type="paragraph" w:styleId="NormalWeb">
    <w:name w:val="Normal (Web)"/>
    <w:basedOn w:val="Normal"/>
    <w:uiPriority w:val="99"/>
    <w:semiHidden/>
    <w:rsid w:val="00E66CF7"/>
    <w:pPr>
      <w:spacing w:after="0"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E66CF7"/>
    <w:pPr>
      <w:spacing w:after="0" w:line="240" w:lineRule="auto"/>
      <w:ind w:left="720"/>
    </w:pPr>
    <w:rPr>
      <w:rFonts w:eastAsia="Times New Roman"/>
      <w:lang w:eastAsia="en-GB"/>
    </w:rPr>
  </w:style>
  <w:style w:type="paragraph" w:styleId="Header">
    <w:name w:val="header"/>
    <w:basedOn w:val="Normal"/>
    <w:link w:val="HeaderChar"/>
    <w:uiPriority w:val="99"/>
    <w:rsid w:val="00265C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5C60"/>
    <w:rPr>
      <w:rFonts w:cs="Times New Roman"/>
    </w:rPr>
  </w:style>
  <w:style w:type="paragraph" w:styleId="Footer">
    <w:name w:val="footer"/>
    <w:basedOn w:val="Normal"/>
    <w:link w:val="FooterChar"/>
    <w:uiPriority w:val="99"/>
    <w:rsid w:val="00265C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5C60"/>
    <w:rPr>
      <w:rFonts w:cs="Times New Roman"/>
    </w:rPr>
  </w:style>
</w:styles>
</file>

<file path=word/webSettings.xml><?xml version="1.0" encoding="utf-8"?>
<w:webSettings xmlns:r="http://schemas.openxmlformats.org/officeDocument/2006/relationships" xmlns:w="http://schemas.openxmlformats.org/wordprocessingml/2006/main">
  <w:divs>
    <w:div w:id="1353264150">
      <w:marLeft w:val="0"/>
      <w:marRight w:val="0"/>
      <w:marTop w:val="0"/>
      <w:marBottom w:val="0"/>
      <w:divBdr>
        <w:top w:val="none" w:sz="0" w:space="0" w:color="auto"/>
        <w:left w:val="none" w:sz="0" w:space="0" w:color="auto"/>
        <w:bottom w:val="none" w:sz="0" w:space="0" w:color="auto"/>
        <w:right w:val="none" w:sz="0" w:space="0" w:color="auto"/>
      </w:divBdr>
      <w:divsChild>
        <w:div w:id="1353264151">
          <w:marLeft w:val="0"/>
          <w:marRight w:val="0"/>
          <w:marTop w:val="0"/>
          <w:marBottom w:val="0"/>
          <w:divBdr>
            <w:top w:val="none" w:sz="0" w:space="0" w:color="auto"/>
            <w:left w:val="none" w:sz="0" w:space="0" w:color="auto"/>
            <w:bottom w:val="none" w:sz="0" w:space="0" w:color="auto"/>
            <w:right w:val="none" w:sz="0" w:space="0" w:color="auto"/>
          </w:divBdr>
          <w:divsChild>
            <w:div w:id="1353264149">
              <w:marLeft w:val="0"/>
              <w:marRight w:val="0"/>
              <w:marTop w:val="0"/>
              <w:marBottom w:val="0"/>
              <w:divBdr>
                <w:top w:val="none" w:sz="0" w:space="0" w:color="auto"/>
                <w:left w:val="none" w:sz="0" w:space="0" w:color="auto"/>
                <w:bottom w:val="none" w:sz="0" w:space="0" w:color="auto"/>
                <w:right w:val="none" w:sz="0" w:space="0" w:color="auto"/>
              </w:divBdr>
            </w:div>
            <w:div w:id="1353264154">
              <w:marLeft w:val="0"/>
              <w:marRight w:val="0"/>
              <w:marTop w:val="0"/>
              <w:marBottom w:val="0"/>
              <w:divBdr>
                <w:top w:val="none" w:sz="0" w:space="0" w:color="auto"/>
                <w:left w:val="none" w:sz="0" w:space="0" w:color="auto"/>
                <w:bottom w:val="none" w:sz="0" w:space="0" w:color="auto"/>
                <w:right w:val="none" w:sz="0" w:space="0" w:color="auto"/>
              </w:divBdr>
              <w:divsChild>
                <w:div w:id="1353264152">
                  <w:marLeft w:val="0"/>
                  <w:marRight w:val="0"/>
                  <w:marTop w:val="0"/>
                  <w:marBottom w:val="0"/>
                  <w:divBdr>
                    <w:top w:val="none" w:sz="0" w:space="0" w:color="auto"/>
                    <w:left w:val="none" w:sz="0" w:space="0" w:color="auto"/>
                    <w:bottom w:val="none" w:sz="0" w:space="0" w:color="auto"/>
                    <w:right w:val="none" w:sz="0" w:space="0" w:color="auto"/>
                  </w:divBdr>
                  <w:divsChild>
                    <w:div w:id="1353264153">
                      <w:marLeft w:val="0"/>
                      <w:marRight w:val="0"/>
                      <w:marTop w:val="0"/>
                      <w:marBottom w:val="0"/>
                      <w:divBdr>
                        <w:top w:val="none" w:sz="0" w:space="0" w:color="auto"/>
                        <w:left w:val="none" w:sz="0" w:space="0" w:color="auto"/>
                        <w:bottom w:val="none" w:sz="0" w:space="0" w:color="auto"/>
                        <w:right w:val="none" w:sz="0" w:space="0" w:color="auto"/>
                      </w:divBdr>
                    </w:div>
                    <w:div w:id="1353264155">
                      <w:marLeft w:val="0"/>
                      <w:marRight w:val="0"/>
                      <w:marTop w:val="0"/>
                      <w:marBottom w:val="0"/>
                      <w:divBdr>
                        <w:top w:val="none" w:sz="0" w:space="0" w:color="auto"/>
                        <w:left w:val="none" w:sz="0" w:space="0" w:color="auto"/>
                        <w:bottom w:val="none" w:sz="0" w:space="0" w:color="auto"/>
                        <w:right w:val="none" w:sz="0" w:space="0" w:color="auto"/>
                      </w:divBdr>
                      <w:divsChild>
                        <w:div w:id="1353264148">
                          <w:marLeft w:val="0"/>
                          <w:marRight w:val="0"/>
                          <w:marTop w:val="0"/>
                          <w:marBottom w:val="0"/>
                          <w:divBdr>
                            <w:top w:val="single" w:sz="8" w:space="3" w:color="B5C4DF"/>
                            <w:left w:val="none" w:sz="0" w:space="0" w:color="auto"/>
                            <w:bottom w:val="none" w:sz="0" w:space="0" w:color="auto"/>
                            <w:right w:val="none" w:sz="0" w:space="0" w:color="auto"/>
                          </w:divBdr>
                        </w:div>
                      </w:divsChild>
                    </w:div>
                    <w:div w:id="13532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Tonner@muirhouseha.org.uk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1109</Words>
  <Characters>6327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Practice – Muirhouse Housing Association</dc:title>
  <dc:subject/>
  <dc:creator>David Strathearn</dc:creator>
  <cp:keywords/>
  <dc:description/>
  <cp:lastModifiedBy>lois.beech</cp:lastModifiedBy>
  <cp:revision>2</cp:revision>
  <cp:lastPrinted>2015-01-15T16:03:00Z</cp:lastPrinted>
  <dcterms:created xsi:type="dcterms:W3CDTF">2015-09-10T13:48:00Z</dcterms:created>
  <dcterms:modified xsi:type="dcterms:W3CDTF">2015-09-10T13:48:00Z</dcterms:modified>
</cp:coreProperties>
</file>